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038A" w:rsidP="00217FC3" w:rsidRDefault="00CE2A08" w14:paraId="2104BCCB" w14:textId="55AD0098">
      <w:pPr>
        <w:spacing w:after="0"/>
      </w:pPr>
      <w:r>
        <w:t>The link to submit comments on the proposed changes to Circular 230 is</w:t>
      </w:r>
    </w:p>
    <w:p w:rsidR="00CE2A08" w:rsidP="00217FC3" w:rsidRDefault="00CE2A08" w14:paraId="42EBBDE2" w14:textId="2AAE5ED1">
      <w:pPr>
        <w:spacing w:after="0"/>
      </w:pPr>
      <w:hyperlink w:history="1" r:id="rId4">
        <w:r w:rsidRPr="0002588C">
          <w:rPr>
            <w:rStyle w:val="Hyperlink"/>
          </w:rPr>
          <w:t>https://www.regulations.gov/document/IRS-2024-0063-00</w:t>
        </w:r>
        <w:r w:rsidRPr="0002588C">
          <w:rPr>
            <w:rStyle w:val="Hyperlink"/>
          </w:rPr>
          <w:t>02/comment</w:t>
        </w:r>
      </w:hyperlink>
      <w:r>
        <w:t xml:space="preserve"> </w:t>
      </w:r>
    </w:p>
    <w:p w:rsidR="00CE2A08" w:rsidP="00217FC3" w:rsidRDefault="00CE2A08" w14:paraId="75A72377" w14:textId="3D8FF85E">
      <w:pPr>
        <w:spacing w:after="0"/>
      </w:pPr>
      <w:r>
        <w:t>and comments are due by February 24, 2025</w:t>
      </w:r>
    </w:p>
    <w:p w:rsidR="00CE2A08" w:rsidP="00165F75" w:rsidRDefault="00CE2A08" w14:paraId="180AEF74" w14:textId="77777777">
      <w:pPr>
        <w:pBdr>
          <w:bottom w:val="single" w:color="auto" w:sz="4" w:space="1"/>
        </w:pBdr>
      </w:pPr>
    </w:p>
    <w:p w:rsidR="00CE2A08" w:rsidRDefault="00CE2A08" w14:paraId="2FD70B78" w14:textId="77777777"/>
    <w:p w:rsidR="00CE2A08" w:rsidP="00CE2A08" w:rsidRDefault="00CE2A08" w14:paraId="61017572" w14:textId="77777777">
      <w:r>
        <w:t>RE: Regulations Governing Practice Before the Internal Revenue Service (REG-116610-20)</w:t>
      </w:r>
    </w:p>
    <w:p w:rsidR="00CE2A08" w:rsidP="00CE2A08" w:rsidRDefault="00CE2A08" w14:paraId="26041398" w14:textId="166546A0">
      <w:r>
        <w:t>I am writing to voice my opposition to part 10.7 of the above referenced Notice of Proposed Rulemaking.</w:t>
      </w:r>
    </w:p>
    <w:p w:rsidR="00165F75" w:rsidP="00CE2A08" w:rsidRDefault="00CE2A08" w14:paraId="130A480B" w14:textId="421B24A7">
      <w:pPr>
        <w:rPr>
          <w:rFonts w:ascii="Source Sans Pro" w:hAnsi="Source Sans Pro"/>
          <w:color w:val="1B1B1B"/>
          <w:shd w:val="clear" w:color="auto" w:fill="FFFFFF"/>
        </w:rPr>
      </w:pPr>
      <w:r>
        <w:rPr/>
        <w:t xml:space="preserve">I have been an enrolled agent </w:t>
      </w:r>
      <w:commentRangeStart w:id="1455758207"/>
      <w:commentRangeStart w:id="907341407"/>
      <w:r>
        <w:rPr/>
        <w:t xml:space="preserve">for</w:t>
      </w:r>
      <w:commentRangeEnd w:id="1455758207"/>
      <w:r>
        <w:rPr>
          <w:rStyle w:val="CommentReference"/>
        </w:rPr>
        <w:commentReference w:id="1455758207"/>
      </w:r>
      <w:commentRangeEnd w:id="907341407"/>
      <w:r>
        <w:rPr>
          <w:rStyle w:val="CommentReference"/>
        </w:rPr>
        <w:commentReference w:id="907341407"/>
      </w:r>
      <w:r>
        <w:rPr/>
        <w:t xml:space="preserve"> </w:t>
      </w:r>
      <w:r w:rsidR="00DF3773">
        <w:rPr/>
        <w:t xml:space="preserve">____ </w:t>
      </w:r>
      <w:r>
        <w:rPr/>
        <w:t xml:space="preserve">years and am a member of the National Association of Enrolled Agents (NAEA).  I have worked hard to </w:t>
      </w:r>
      <w:r>
        <w:rPr/>
        <w:t xml:space="preserve">attain</w:t>
      </w:r>
      <w:r>
        <w:rPr/>
        <w:t xml:space="preserve"> </w:t>
      </w:r>
      <w:r w:rsidR="005A6B43">
        <w:rPr/>
        <w:t>this professional</w:t>
      </w:r>
      <w:r>
        <w:rPr/>
        <w:t xml:space="preserve"> designation.</w:t>
      </w:r>
      <w:r w:rsidR="00165F75">
        <w:rPr/>
        <w:t xml:space="preserve"> As described on the IRS Office of Professional Responsibility’s website, a</w:t>
      </w:r>
      <w:r w:rsidR="00165F75">
        <w:rPr>
          <w:rFonts w:ascii="Source Sans Pro" w:hAnsi="Source Sans Pro"/>
          <w:color w:val="1B1B1B"/>
          <w:shd w:val="clear" w:color="auto" w:fill="FFFFFF"/>
        </w:rPr>
        <w:t xml:space="preserve">n enrolled agent is a person who has earned the privilege of </w:t>
      </w:r>
      <w:r w:rsidR="00165F75">
        <w:rPr>
          <w:rFonts w:ascii="Source Sans Pro" w:hAnsi="Source Sans Pro"/>
          <w:color w:val="1B1B1B"/>
          <w:shd w:val="clear" w:color="auto" w:fill="FFFFFF"/>
        </w:rPr>
        <w:t>representing</w:t>
      </w:r>
      <w:r w:rsidR="00165F75">
        <w:rPr>
          <w:rFonts w:ascii="Source Sans Pro" w:hAnsi="Source Sans Pro"/>
          <w:color w:val="1B1B1B"/>
          <w:shd w:val="clear" w:color="auto" w:fill="FFFFFF"/>
        </w:rPr>
        <w:t xml:space="preserve"> taxpayers before the Internal Revenue Service. Enrolled agents are </w:t>
      </w:r>
      <w:r w:rsidR="00165F75">
        <w:rPr>
          <w:rFonts w:ascii="Source Sans Pro" w:hAnsi="Source Sans Pro"/>
          <w:color w:val="1B1B1B"/>
          <w:shd w:val="clear" w:color="auto" w:fill="FFFFFF"/>
        </w:rPr>
        <w:t>generally unrestricted</w:t>
      </w:r>
      <w:r w:rsidR="00165F75">
        <w:rPr>
          <w:rFonts w:ascii="Source Sans Pro" w:hAnsi="Source Sans Pro"/>
          <w:color w:val="1B1B1B"/>
          <w:shd w:val="clear" w:color="auto" w:fill="FFFFFF"/>
        </w:rPr>
        <w:t xml:space="preserve"> as to which taxpayers they can </w:t>
      </w:r>
      <w:r w:rsidR="00165F75">
        <w:rPr>
          <w:rFonts w:ascii="Source Sans Pro" w:hAnsi="Source Sans Pro"/>
          <w:color w:val="1B1B1B"/>
          <w:shd w:val="clear" w:color="auto" w:fill="FFFFFF"/>
        </w:rPr>
        <w:t>represent</w:t>
      </w:r>
      <w:r w:rsidR="00165F75">
        <w:rPr>
          <w:rFonts w:ascii="Source Sans Pro" w:hAnsi="Source Sans Pro"/>
          <w:color w:val="1B1B1B"/>
          <w:shd w:val="clear" w:color="auto" w:fill="FFFFFF"/>
        </w:rPr>
        <w:t xml:space="preserve">, what types of tax matters they can handle, and which IRS offices they can </w:t>
      </w:r>
      <w:r w:rsidR="00165F75">
        <w:rPr>
          <w:rFonts w:ascii="Source Sans Pro" w:hAnsi="Source Sans Pro"/>
          <w:color w:val="1B1B1B"/>
          <w:shd w:val="clear" w:color="auto" w:fill="FFFFFF"/>
        </w:rPr>
        <w:t>represent</w:t>
      </w:r>
      <w:r w:rsidR="00165F75">
        <w:rPr>
          <w:rFonts w:ascii="Source Sans Pro" w:hAnsi="Source Sans Pro"/>
          <w:color w:val="1B1B1B"/>
          <w:shd w:val="clear" w:color="auto" w:fill="FFFFFF"/>
        </w:rPr>
        <w:t xml:space="preserve"> clients.</w:t>
      </w:r>
    </w:p>
    <w:p w:rsidR="00CE2A08" w:rsidP="00CE2A08" w:rsidRDefault="00CE2A08" w14:paraId="1B454ABB" w14:textId="56C23034">
      <w:r>
        <w:t xml:space="preserve">The proposed changes to the rules in Circular 230, if finalized, would allow unlicensed tax preparers to hold even footing to enrolled agents in nearly all </w:t>
      </w:r>
      <w:r w:rsidR="00165F75">
        <w:t>a</w:t>
      </w:r>
      <w:r>
        <w:t xml:space="preserve">spects </w:t>
      </w:r>
      <w:r w:rsidR="00E248C5">
        <w:t>of</w:t>
      </w:r>
      <w:r>
        <w:t xml:space="preserve"> taxpayer representation.</w:t>
      </w:r>
    </w:p>
    <w:p w:rsidR="00CE2A08" w:rsidRDefault="00CE2A08" w14:paraId="0ED48FCC" w14:textId="2A6833BC">
      <w:r>
        <w:t>The current regulations and Rev</w:t>
      </w:r>
      <w:r w:rsidR="00C021A3">
        <w:t xml:space="preserve">enue </w:t>
      </w:r>
      <w:r>
        <w:t>Proc</w:t>
      </w:r>
      <w:r w:rsidR="00C021A3">
        <w:t>edure</w:t>
      </w:r>
      <w:r>
        <w:t xml:space="preserve"> 81-38 restrict “limited practice” and very narrowly define the scope of authority for unenrolled tax preparers:</w:t>
      </w:r>
    </w:p>
    <w:p w:rsidRPr="00CE2A08" w:rsidR="00CE2A08" w:rsidP="00CE2A08" w:rsidRDefault="00CE2A08" w14:paraId="7BBDD99C" w14:textId="29628D42">
      <w:pPr>
        <w:ind w:left="720"/>
        <w:rPr>
          <w:i/>
          <w:iCs/>
        </w:rPr>
      </w:pPr>
      <w:r>
        <w:rPr>
          <w:i/>
          <w:iCs/>
        </w:rPr>
        <w:t xml:space="preserve">Section 4.01 </w:t>
      </w:r>
      <w:r w:rsidRPr="00CE2A08">
        <w:rPr>
          <w:i/>
          <w:iCs/>
        </w:rPr>
        <w:t>An unenrolled individual who signs a return as its preparer may act as the taxpayer's representative if accompanied by the taxpayer, or by filing a written authorization from the taxpayer as provided herein in section 6. Such representation is limited to practice before examining officers of the Examination Division in the offices of District Directors and in the Office of International Operations, and may only encompass matters concerning the tax liability of the taxpayer for the taxable year covered by that return, subject to the limitations herein prescribed.</w:t>
      </w:r>
    </w:p>
    <w:p w:rsidR="00CE2A08" w:rsidP="00CE2A08" w:rsidRDefault="00CE2A08" w14:paraId="0F39907F" w14:textId="1C323585">
      <w:r>
        <w:t>Rev. Proc. 81-38 goes on to state:</w:t>
      </w:r>
    </w:p>
    <w:p w:rsidR="00E248C5" w:rsidP="00CE2A08" w:rsidRDefault="00CE2A08" w14:paraId="4DF95AD4" w14:textId="77777777">
      <w:pPr>
        <w:ind w:left="720"/>
        <w:rPr>
          <w:i/>
          <w:iCs/>
        </w:rPr>
      </w:pPr>
      <w:r>
        <w:rPr>
          <w:i/>
          <w:iCs/>
        </w:rPr>
        <w:t>Section 5.02 I</w:t>
      </w:r>
      <w:r w:rsidRPr="00CE2A08">
        <w:rPr>
          <w:i/>
          <w:iCs/>
        </w:rPr>
        <w:t>n addition, the following acts on behalf of the taxpayer are beyond the scope of authority permitted an unenrolled preparer:</w:t>
      </w:r>
    </w:p>
    <w:p w:rsidR="00E248C5" w:rsidP="00E248C5" w:rsidRDefault="00CE2A08" w14:paraId="120A9C79" w14:textId="20586A33">
      <w:pPr>
        <w:spacing w:after="0" w:line="240" w:lineRule="auto"/>
        <w:ind w:left="720"/>
        <w:rPr>
          <w:i/>
          <w:iCs/>
        </w:rPr>
      </w:pPr>
      <w:r w:rsidRPr="00CE2A08">
        <w:rPr>
          <w:i/>
          <w:iCs/>
        </w:rPr>
        <w:t xml:space="preserve">(a) Executing claims for refund; </w:t>
      </w:r>
    </w:p>
    <w:p w:rsidR="00E248C5" w:rsidP="00E248C5" w:rsidRDefault="00CE2A08" w14:paraId="6CEDCB4E" w14:textId="77777777">
      <w:pPr>
        <w:spacing w:after="0" w:line="240" w:lineRule="auto"/>
        <w:ind w:left="720"/>
        <w:rPr>
          <w:i/>
          <w:iCs/>
        </w:rPr>
      </w:pPr>
      <w:r w:rsidRPr="00CE2A08">
        <w:rPr>
          <w:i/>
          <w:iCs/>
        </w:rPr>
        <w:t xml:space="preserve">(b) Receiving checks in payment of any refund of Internal Revenue taxes, penalties, or interest; </w:t>
      </w:r>
    </w:p>
    <w:p w:rsidR="00E248C5" w:rsidP="00E248C5" w:rsidRDefault="00CE2A08" w14:paraId="238E43C4" w14:textId="77777777">
      <w:pPr>
        <w:spacing w:after="0" w:line="240" w:lineRule="auto"/>
        <w:ind w:left="720"/>
        <w:rPr>
          <w:i/>
          <w:iCs/>
        </w:rPr>
      </w:pPr>
      <w:r w:rsidRPr="00CE2A08">
        <w:rPr>
          <w:i/>
          <w:iCs/>
        </w:rPr>
        <w:t>(c) Executing consents to extend the statutory period for assessment or collection of a tax;</w:t>
      </w:r>
    </w:p>
    <w:p w:rsidR="00E248C5" w:rsidP="00E248C5" w:rsidRDefault="00CE2A08" w14:paraId="2BBD166A" w14:textId="77777777">
      <w:pPr>
        <w:spacing w:after="0" w:line="240" w:lineRule="auto"/>
        <w:ind w:left="720"/>
        <w:rPr>
          <w:i/>
          <w:iCs/>
        </w:rPr>
      </w:pPr>
      <w:r w:rsidRPr="00CE2A08">
        <w:rPr>
          <w:i/>
          <w:iCs/>
        </w:rPr>
        <w:t xml:space="preserve"> (d) Executing closing agreements with respect to a tax liability or specific matter; and </w:t>
      </w:r>
    </w:p>
    <w:p w:rsidR="00CE2A08" w:rsidP="00E248C5" w:rsidRDefault="00CE2A08" w14:paraId="40A11F07" w14:textId="23CA8781">
      <w:pPr>
        <w:spacing w:after="0" w:line="240" w:lineRule="auto"/>
        <w:ind w:left="720"/>
        <w:rPr>
          <w:i/>
          <w:iCs/>
        </w:rPr>
      </w:pPr>
      <w:r w:rsidRPr="00CE2A08">
        <w:rPr>
          <w:i/>
          <w:iCs/>
        </w:rPr>
        <w:t xml:space="preserve">(e) Executing waivers of restriction on assessment or collection of a deficiency in tax. </w:t>
      </w:r>
    </w:p>
    <w:p w:rsidR="00E248C5" w:rsidP="00CE2A08" w:rsidRDefault="00E248C5" w14:paraId="3C921778" w14:textId="77777777"/>
    <w:p w:rsidR="00E248C5" w:rsidP="00CE2A08" w:rsidRDefault="00867F23" w14:paraId="16519DD7" w14:textId="3740AF80">
      <w:r w:rsidRPr="00217FC3">
        <w:rPr>
          <w:b/>
          <w:bCs/>
        </w:rPr>
        <w:t xml:space="preserve">The proposed regulations </w:t>
      </w:r>
      <w:r w:rsidRPr="00217FC3" w:rsidR="00165F75">
        <w:rPr>
          <w:b/>
          <w:bCs/>
        </w:rPr>
        <w:t>remove,</w:t>
      </w:r>
      <w:r w:rsidRPr="00217FC3">
        <w:rPr>
          <w:b/>
          <w:bCs/>
        </w:rPr>
        <w:t xml:space="preserve"> almost entirely, the distinction between </w:t>
      </w:r>
      <w:r w:rsidRPr="00217FC3" w:rsidR="00165F75">
        <w:rPr>
          <w:b/>
          <w:bCs/>
        </w:rPr>
        <w:t>credential holders and uncredentialed tax preparers</w:t>
      </w:r>
      <w:r w:rsidRPr="00217FC3" w:rsidR="00E248C5">
        <w:rPr>
          <w:b/>
          <w:bCs/>
        </w:rPr>
        <w:t>.</w:t>
      </w:r>
      <w:r w:rsidR="00E248C5">
        <w:t xml:space="preserve"> T</w:t>
      </w:r>
      <w:r w:rsidR="00165F75">
        <w:t>he</w:t>
      </w:r>
      <w:r w:rsidR="00E248C5">
        <w:t>y</w:t>
      </w:r>
      <w:r w:rsidR="00165F75">
        <w:t xml:space="preserve"> go too </w:t>
      </w:r>
      <w:r w:rsidR="00C021A3">
        <w:t>far</w:t>
      </w:r>
      <w:r w:rsidR="00165F75">
        <w:t xml:space="preserve"> in expanding the right to </w:t>
      </w:r>
      <w:r w:rsidR="00C021A3">
        <w:t>practice to</w:t>
      </w:r>
      <w:r w:rsidR="00165F75">
        <w:t xml:space="preserve"> individuals who have not taken the onerous Special Enrollment Exam or otherwise proven expertise in tax law</w:t>
      </w:r>
      <w:r w:rsidR="00C021A3">
        <w:t xml:space="preserve">. </w:t>
      </w:r>
    </w:p>
    <w:p w:rsidR="00165F75" w:rsidP="00CE2A08" w:rsidRDefault="00E248C5" w14:paraId="1E785244" w14:textId="15EBDF1B">
      <w:r>
        <w:t>The proposed rule</w:t>
      </w:r>
      <w:r w:rsidR="00165F75">
        <w:t xml:space="preserve"> reads:</w:t>
      </w:r>
    </w:p>
    <w:p w:rsidRPr="00165F75" w:rsidR="00165F75" w:rsidP="00E248C5" w:rsidRDefault="00165F75" w14:paraId="510429FC" w14:textId="77777777">
      <w:pPr>
        <w:shd w:val="clear" w:color="auto" w:fill="FFFFFF"/>
        <w:spacing w:after="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lastRenderedPageBreak/>
        <w:t>§ 10.7</w:t>
      </w:r>
    </w:p>
    <w:p w:rsidRPr="00165F75" w:rsidR="00165F75" w:rsidP="00E248C5" w:rsidRDefault="00165F75" w14:paraId="27CB798C" w14:textId="77777777">
      <w:pPr>
        <w:shd w:val="clear" w:color="auto" w:fill="FFFFFF"/>
        <w:spacing w:after="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t>Representing oneself; participating in rulemaking; limited practice; and special appearances.</w:t>
      </w:r>
    </w:p>
    <w:p w:rsidRPr="00165F75" w:rsidR="00165F75" w:rsidP="00E248C5" w:rsidRDefault="00165F75" w14:paraId="4402B0E6" w14:textId="77777777">
      <w:pPr>
        <w:shd w:val="clear" w:color="auto" w:fill="FFFFFF"/>
        <w:spacing w:after="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t>* * * * *</w:t>
      </w:r>
    </w:p>
    <w:p w:rsidRPr="00165F75" w:rsidR="00165F75" w:rsidP="00E248C5" w:rsidRDefault="00165F75" w14:paraId="36493482" w14:textId="77777777">
      <w:pPr>
        <w:shd w:val="clear" w:color="auto" w:fill="FFFFFF"/>
        <w:spacing w:after="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t>(c) * * *</w:t>
      </w:r>
    </w:p>
    <w:p w:rsidRPr="00165F75" w:rsidR="00165F75" w:rsidP="00E248C5" w:rsidRDefault="00165F75" w14:paraId="3170279C" w14:textId="77777777">
      <w:pPr>
        <w:shd w:val="clear" w:color="auto" w:fill="FFFFFF"/>
        <w:spacing w:after="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t>(1) * * *</w:t>
      </w:r>
    </w:p>
    <w:p w:rsidRPr="00165F75" w:rsidR="00165F75" w:rsidP="00E248C5" w:rsidRDefault="00165F75" w14:paraId="36AC50FB" w14:textId="77777777">
      <w:pPr>
        <w:shd w:val="clear" w:color="auto" w:fill="FFFFFF"/>
        <w:spacing w:after="150" w:line="240" w:lineRule="auto"/>
        <w:ind w:left="720"/>
        <w:rPr>
          <w:rFonts w:ascii="Helvetica" w:hAnsi="Helvetica" w:eastAsia="Times New Roman" w:cs="Times New Roman"/>
          <w:i/>
          <w:iCs/>
          <w:color w:val="333333"/>
          <w:kern w:val="0"/>
          <w:sz w:val="21"/>
          <w:szCs w:val="21"/>
          <w14:ligatures w14:val="none"/>
        </w:rPr>
      </w:pPr>
      <w:r w:rsidRPr="00165F75">
        <w:rPr>
          <w:rFonts w:ascii="Helvetica" w:hAnsi="Helvetica" w:eastAsia="Times New Roman" w:cs="Times New Roman"/>
          <w:i/>
          <w:iCs/>
          <w:color w:val="333333"/>
          <w:kern w:val="0"/>
          <w:sz w:val="21"/>
          <w:szCs w:val="21"/>
          <w14:ligatures w14:val="none"/>
        </w:rPr>
        <w:t>(viii) An individual who possesses a current Annual Filing Season Program (AFSP) Record of Completion may represent a client before revenue agents, customer service representatives, or similar officers and employees of the Internal Revenue Service, including the Taxpayer Advocate Service, during an examination of a tax return or claim for refund or credit that the individual prepared and signed. The individual must have: a valid Record of Completion for the calendar year in which the tax return or claim for refund or credit was prepared and signed and a valid Record of Completion for the year or years in which the representation occurs.</w:t>
      </w:r>
    </w:p>
    <w:p w:rsidR="00165F75" w:rsidP="00CE2A08" w:rsidRDefault="00C021A3" w14:paraId="6579367D" w14:textId="6F92D74A">
      <w:r>
        <w:t>I respectfully request that the language, allowing all Annual Filing Season Program participants to represent taxpayers outside of the narrow definition of limited practice in Revenue Procedure 81-38 be removed from the final regulations.</w:t>
      </w:r>
    </w:p>
    <w:p w:rsidRPr="00CE2A08" w:rsidR="00CE2A08" w:rsidP="005A6B43" w:rsidRDefault="00C021A3" w14:paraId="11A5A750" w14:textId="1196D8FF">
      <w:r>
        <w:t>______________, EA</w:t>
      </w:r>
    </w:p>
    <w:sectPr w:rsidRPr="00CE2A08" w:rsidR="00CE2A08">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U" w:author="Guest User" w:date="2025-02-06T13:48:03" w:id="1455758207">
    <w:p xmlns:w14="http://schemas.microsoft.com/office/word/2010/wordml" xmlns:w="http://schemas.openxmlformats.org/wordprocessingml/2006/main" w:rsidR="12F13A64" w:rsidRDefault="057426F0" w14:paraId="094C87AF" w14:textId="539FAF88">
      <w:pPr>
        <w:pStyle w:val="CommentText"/>
      </w:pPr>
      <w:r>
        <w:rPr>
          <w:rStyle w:val="CommentReference"/>
        </w:rPr>
        <w:annotationRef/>
      </w:r>
      <w:r w:rsidRPr="5488DFAB" w:rsidR="26695AF8">
        <w:t>IS it worth adding I have been an enrolled agent for xx years and a member of the National Association of..." This way there is a raised awareness of NAEA and our members responding in unision about the proposed changes.</w:t>
      </w:r>
    </w:p>
  </w:comment>
  <w:comment xmlns:w="http://schemas.openxmlformats.org/wordprocessingml/2006/main" w:initials="MK" w:author="Megan Killian" w:date="2025-02-06T13:50:34" w:id="907341407">
    <w:p xmlns:w14="http://schemas.microsoft.com/office/word/2010/wordml" xmlns:w="http://schemas.openxmlformats.org/wordprocessingml/2006/main" w:rsidR="21DA831B" w:rsidRDefault="0910E665" w14:paraId="25536A1B" w14:textId="07E4005F">
      <w:pPr>
        <w:pStyle w:val="CommentText"/>
      </w:pPr>
      <w:r>
        <w:rPr>
          <w:rStyle w:val="CommentReference"/>
        </w:rPr>
        <w:annotationRef/>
      </w:r>
      <w:r w:rsidRPr="36F2FD23" w:rsidR="1E21AD09">
        <w:t>Good idea!</w:t>
      </w:r>
    </w:p>
    <w:p xmlns:w14="http://schemas.microsoft.com/office/word/2010/wordml" xmlns:w="http://schemas.openxmlformats.org/wordprocessingml/2006/main" w:rsidR="18484DA0" w:rsidRDefault="725AEF4F" w14:paraId="2C5F2A24" w14:textId="2083CB95">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094C87AF"/>
  <w15:commentEx w15:done="1" w15:paraId="2C5F2A24" w15:paraIdParent="094C87A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B4EC55" w16cex:dateUtc="2025-02-06T18:48:03.381Z"/>
  <w16cex:commentExtensible w16cex:durableId="0B939914" w16cex:dateUtc="2025-02-06T18:50:34.684Z"/>
</w16cex:commentsExtensible>
</file>

<file path=word/commentsIds.xml><?xml version="1.0" encoding="utf-8"?>
<w16cid:commentsIds xmlns:mc="http://schemas.openxmlformats.org/markup-compatibility/2006" xmlns:w16cid="http://schemas.microsoft.com/office/word/2016/wordml/cid" mc:Ignorable="w16cid">
  <w16cid:commentId w16cid:paraId="094C87AF" w16cid:durableId="08B4EC55"/>
  <w16cid:commentId w16cid:paraId="2C5F2A24" w16cid:durableId="0B9399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Guest User">
    <w15:presenceInfo w15:providerId="AD" w15:userId="S::urn:spo:anon#67bd337177d33e86e690cf9bf6475f6609344403d34b9f0ebe3a0e9c6fe8dad3::"/>
  </w15:person>
  <w15:person w15:author="Megan Killian">
    <w15:presenceInfo w15:providerId="AD" w15:userId="S::mkillian@naea.org::8ec00bb2-314e-4aba-9ee4-c00e28d6c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08"/>
    <w:rsid w:val="00165F75"/>
    <w:rsid w:val="00217FC3"/>
    <w:rsid w:val="004067A1"/>
    <w:rsid w:val="0048793B"/>
    <w:rsid w:val="005A6B43"/>
    <w:rsid w:val="005E7E9B"/>
    <w:rsid w:val="00603E04"/>
    <w:rsid w:val="007F0CCC"/>
    <w:rsid w:val="0081591A"/>
    <w:rsid w:val="00867F23"/>
    <w:rsid w:val="008A784A"/>
    <w:rsid w:val="008B304E"/>
    <w:rsid w:val="008F038A"/>
    <w:rsid w:val="009C2AD1"/>
    <w:rsid w:val="00C021A3"/>
    <w:rsid w:val="00C96CDF"/>
    <w:rsid w:val="00CB3AA6"/>
    <w:rsid w:val="00CC778B"/>
    <w:rsid w:val="00CE2A08"/>
    <w:rsid w:val="00CF3242"/>
    <w:rsid w:val="00D23006"/>
    <w:rsid w:val="00D24B82"/>
    <w:rsid w:val="00DF3773"/>
    <w:rsid w:val="00E248C5"/>
    <w:rsid w:val="00F411C8"/>
    <w:rsid w:val="4FB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C850"/>
  <w15:chartTrackingRefBased/>
  <w15:docId w15:val="{54B97704-B383-4F4E-9B76-D9EAE0F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2A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0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2A0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E2A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E2A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2A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2A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2A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2A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2A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2A08"/>
    <w:rPr>
      <w:rFonts w:eastAsiaTheme="majorEastAsia" w:cstheme="majorBidi"/>
      <w:color w:val="272727" w:themeColor="text1" w:themeTint="D8"/>
    </w:rPr>
  </w:style>
  <w:style w:type="paragraph" w:styleId="Title">
    <w:name w:val="Title"/>
    <w:basedOn w:val="Normal"/>
    <w:next w:val="Normal"/>
    <w:link w:val="TitleChar"/>
    <w:uiPriority w:val="10"/>
    <w:qFormat/>
    <w:rsid w:val="00CE2A0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2A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2A0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2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08"/>
    <w:pPr>
      <w:spacing w:before="160"/>
      <w:jc w:val="center"/>
    </w:pPr>
    <w:rPr>
      <w:i/>
      <w:iCs/>
      <w:color w:val="404040" w:themeColor="text1" w:themeTint="BF"/>
    </w:rPr>
  </w:style>
  <w:style w:type="character" w:styleId="QuoteChar" w:customStyle="1">
    <w:name w:val="Quote Char"/>
    <w:basedOn w:val="DefaultParagraphFont"/>
    <w:link w:val="Quote"/>
    <w:uiPriority w:val="29"/>
    <w:rsid w:val="00CE2A08"/>
    <w:rPr>
      <w:i/>
      <w:iCs/>
      <w:color w:val="404040" w:themeColor="text1" w:themeTint="BF"/>
    </w:rPr>
  </w:style>
  <w:style w:type="paragraph" w:styleId="ListParagraph">
    <w:name w:val="List Paragraph"/>
    <w:basedOn w:val="Normal"/>
    <w:uiPriority w:val="34"/>
    <w:qFormat/>
    <w:rsid w:val="00CE2A08"/>
    <w:pPr>
      <w:ind w:left="720"/>
      <w:contextualSpacing/>
    </w:pPr>
  </w:style>
  <w:style w:type="character" w:styleId="IntenseEmphasis">
    <w:name w:val="Intense Emphasis"/>
    <w:basedOn w:val="DefaultParagraphFont"/>
    <w:uiPriority w:val="21"/>
    <w:qFormat/>
    <w:rsid w:val="00CE2A08"/>
    <w:rPr>
      <w:i/>
      <w:iCs/>
      <w:color w:val="0F4761" w:themeColor="accent1" w:themeShade="BF"/>
    </w:rPr>
  </w:style>
  <w:style w:type="paragraph" w:styleId="IntenseQuote">
    <w:name w:val="Intense Quote"/>
    <w:basedOn w:val="Normal"/>
    <w:next w:val="Normal"/>
    <w:link w:val="IntenseQuoteChar"/>
    <w:uiPriority w:val="30"/>
    <w:qFormat/>
    <w:rsid w:val="00CE2A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2A08"/>
    <w:rPr>
      <w:i/>
      <w:iCs/>
      <w:color w:val="0F4761" w:themeColor="accent1" w:themeShade="BF"/>
    </w:rPr>
  </w:style>
  <w:style w:type="character" w:styleId="IntenseReference">
    <w:name w:val="Intense Reference"/>
    <w:basedOn w:val="DefaultParagraphFont"/>
    <w:uiPriority w:val="32"/>
    <w:qFormat/>
    <w:rsid w:val="00CE2A08"/>
    <w:rPr>
      <w:b/>
      <w:bCs/>
      <w:smallCaps/>
      <w:color w:val="0F4761" w:themeColor="accent1" w:themeShade="BF"/>
      <w:spacing w:val="5"/>
    </w:rPr>
  </w:style>
  <w:style w:type="character" w:styleId="Hyperlink">
    <w:name w:val="Hyperlink"/>
    <w:basedOn w:val="DefaultParagraphFont"/>
    <w:uiPriority w:val="99"/>
    <w:unhideWhenUsed/>
    <w:rsid w:val="00CE2A08"/>
    <w:rPr>
      <w:color w:val="467886" w:themeColor="hyperlink"/>
      <w:u w:val="single"/>
    </w:rPr>
  </w:style>
  <w:style w:type="character" w:styleId="UnresolvedMention">
    <w:name w:val="Unresolved Mention"/>
    <w:basedOn w:val="DefaultParagraphFont"/>
    <w:uiPriority w:val="99"/>
    <w:semiHidden/>
    <w:unhideWhenUsed/>
    <w:rsid w:val="00CE2A08"/>
    <w:rPr>
      <w:color w:val="605E5C"/>
      <w:shd w:val="clear" w:color="auto" w:fill="E1DFDD"/>
    </w:rPr>
  </w:style>
  <w:style w:type="character" w:styleId="FollowedHyperlink">
    <w:name w:val="FollowedHyperlink"/>
    <w:basedOn w:val="DefaultParagraphFont"/>
    <w:uiPriority w:val="99"/>
    <w:semiHidden/>
    <w:unhideWhenUsed/>
    <w:rsid w:val="007F0C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1228">
      <w:bodyDiv w:val="1"/>
      <w:marLeft w:val="0"/>
      <w:marRight w:val="0"/>
      <w:marTop w:val="0"/>
      <w:marBottom w:val="0"/>
      <w:divBdr>
        <w:top w:val="none" w:sz="0" w:space="0" w:color="auto"/>
        <w:left w:val="none" w:sz="0" w:space="0" w:color="auto"/>
        <w:bottom w:val="none" w:sz="0" w:space="0" w:color="auto"/>
        <w:right w:val="none" w:sz="0" w:space="0" w:color="auto"/>
      </w:divBdr>
      <w:divsChild>
        <w:div w:id="100106121">
          <w:marLeft w:val="0"/>
          <w:marRight w:val="0"/>
          <w:marTop w:val="0"/>
          <w:marBottom w:val="0"/>
          <w:divBdr>
            <w:top w:val="none" w:sz="0" w:space="0" w:color="auto"/>
            <w:left w:val="none" w:sz="0" w:space="0" w:color="auto"/>
            <w:bottom w:val="none" w:sz="0" w:space="0" w:color="auto"/>
            <w:right w:val="none" w:sz="0" w:space="0" w:color="auto"/>
          </w:divBdr>
        </w:div>
        <w:div w:id="154648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regulations.gov/document/IRS-2024-0063-0002/comment" TargetMode="External" Id="rId4" /><Relationship Type="http://schemas.openxmlformats.org/officeDocument/2006/relationships/comments" Target="comments.xml" Id="R0fcda6bf48334f91" /><Relationship Type="http://schemas.microsoft.com/office/2011/relationships/people" Target="people.xml" Id="R7b1885e3e35c453a" /><Relationship Type="http://schemas.microsoft.com/office/2011/relationships/commentsExtended" Target="commentsExtended.xml" Id="Ra821bc47645243e9" /><Relationship Type="http://schemas.microsoft.com/office/2016/09/relationships/commentsIds" Target="commentsIds.xml" Id="Rdeedd37d0e334fa6" /><Relationship Type="http://schemas.microsoft.com/office/2018/08/relationships/commentsExtensible" Target="commentsExtensible.xml" Id="R8388f3dedc9740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MacMillan, EA</dc:creator>
  <keywords/>
  <dc:description/>
  <lastModifiedBy>Guest User</lastModifiedBy>
  <revision>3</revision>
  <lastPrinted>2025-02-04T22:45:00.0000000Z</lastPrinted>
  <dcterms:created xsi:type="dcterms:W3CDTF">2025-02-06T18:40:00.0000000Z</dcterms:created>
  <dcterms:modified xsi:type="dcterms:W3CDTF">2025-02-06T19:10:35.1750337Z</dcterms:modified>
</coreProperties>
</file>